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AB24" w14:textId="77777777" w:rsidR="000777DE" w:rsidRDefault="000777DE">
      <w:pPr>
        <w:pStyle w:val="Standard"/>
        <w:tabs>
          <w:tab w:val="left" w:pos="2880"/>
        </w:tabs>
        <w:ind w:left="1440" w:hanging="360"/>
        <w:rPr>
          <w:rFonts w:cs="Calibri"/>
          <w:sz w:val="24"/>
          <w:szCs w:val="24"/>
        </w:rPr>
      </w:pPr>
    </w:p>
    <w:p w14:paraId="2EA3AB25" w14:textId="77777777" w:rsidR="000777DE" w:rsidRDefault="00883B6B">
      <w:pPr>
        <w:pStyle w:val="Default"/>
        <w:ind w:left="1080"/>
        <w:jc w:val="center"/>
      </w:pPr>
      <w:r>
        <w:rPr>
          <w:rFonts w:ascii="Calibri" w:hAnsi="Calibri" w:cs="Calibri"/>
          <w:b/>
          <w:bCs/>
          <w:sz w:val="36"/>
          <w:szCs w:val="36"/>
        </w:rPr>
        <w:t>Cena Víta Brandy 2022: Přihláška do soutěže</w:t>
      </w:r>
    </w:p>
    <w:p w14:paraId="2EA3AB26" w14:textId="77777777" w:rsidR="000777DE" w:rsidRDefault="00883B6B">
      <w:pPr>
        <w:pStyle w:val="Default"/>
        <w:ind w:left="1080"/>
      </w:pPr>
      <w:r>
        <w:rPr>
          <w:rFonts w:ascii="Calibri" w:hAnsi="Calibri" w:cs="Calibri"/>
          <w:i/>
          <w:iCs/>
        </w:rPr>
        <w:t>Prosíme o vyplnění následujících položek. Odeslání je možné do 4. 2. 2022</w:t>
      </w:r>
    </w:p>
    <w:p w14:paraId="2EA3AB27" w14:textId="77777777" w:rsidR="000777DE" w:rsidRDefault="000777DE">
      <w:pPr>
        <w:pStyle w:val="Default"/>
        <w:ind w:left="1080"/>
        <w:rPr>
          <w:rFonts w:ascii="Calibri" w:hAnsi="Calibri" w:cs="Calibri"/>
        </w:rPr>
      </w:pPr>
    </w:p>
    <w:p w14:paraId="2EA3AB28" w14:textId="77777777" w:rsidR="000777DE" w:rsidRDefault="000777DE">
      <w:pPr>
        <w:pStyle w:val="Default"/>
        <w:ind w:left="1080"/>
        <w:rPr>
          <w:rFonts w:ascii="Calibri" w:hAnsi="Calibri" w:cs="Calibri"/>
        </w:rPr>
      </w:pPr>
    </w:p>
    <w:p w14:paraId="2EA3AB29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t>Stručná anotace</w:t>
      </w:r>
    </w:p>
    <w:p w14:paraId="2EA3AB2A" w14:textId="77777777" w:rsidR="000777DE" w:rsidRDefault="00883B6B">
      <w:pPr>
        <w:pStyle w:val="Default"/>
        <w:tabs>
          <w:tab w:val="left" w:pos="720"/>
        </w:tabs>
        <w:ind w:left="360" w:hanging="360"/>
      </w:pPr>
      <w:proofErr w:type="spellStart"/>
      <w:r>
        <w:rPr>
          <w:rFonts w:ascii="Calibri" w:hAnsi="Calibri" w:cs="Calibri"/>
          <w:lang w:val="sk-SK"/>
        </w:rPr>
        <w:t>Cielom</w:t>
      </w:r>
      <w:proofErr w:type="spellEnd"/>
      <w:r>
        <w:rPr>
          <w:rFonts w:ascii="Calibri" w:hAnsi="Calibri" w:cs="Calibri"/>
          <w:lang w:val="sk-SK"/>
        </w:rPr>
        <w:t xml:space="preserve"> projekt C</w:t>
      </w:r>
      <w:proofErr w:type="spellStart"/>
      <w:r>
        <w:rPr>
          <w:rFonts w:ascii="Calibri" w:hAnsi="Calibri" w:cs="Calibri"/>
        </w:rPr>
        <w:t>yklistické</w:t>
      </w:r>
      <w:proofErr w:type="spellEnd"/>
      <w:r>
        <w:rPr>
          <w:rFonts w:ascii="Calibri" w:hAnsi="Calibri" w:cs="Calibri"/>
        </w:rPr>
        <w:t xml:space="preserve"> pruhy na </w:t>
      </w:r>
      <w:proofErr w:type="spellStart"/>
      <w:r>
        <w:rPr>
          <w:rFonts w:ascii="Calibri" w:hAnsi="Calibri" w:cs="Calibri"/>
        </w:rPr>
        <w:t>Študentskej</w:t>
      </w:r>
      <w:proofErr w:type="spellEnd"/>
      <w:r>
        <w:rPr>
          <w:rFonts w:ascii="Calibri" w:hAnsi="Calibri" w:cs="Calibri"/>
        </w:rPr>
        <w:t xml:space="preserve"> ulici v </w:t>
      </w:r>
      <w:proofErr w:type="spellStart"/>
      <w:r>
        <w:rPr>
          <w:rFonts w:ascii="Calibri" w:hAnsi="Calibri" w:cs="Calibri"/>
        </w:rPr>
        <w:t>Trnave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k-SK"/>
        </w:rPr>
        <w:t xml:space="preserve">bolo zlepšenie podmienok pre </w:t>
      </w:r>
      <w:r>
        <w:rPr>
          <w:rFonts w:ascii="Calibri" w:hAnsi="Calibri" w:cs="Calibri"/>
          <w:lang w:val="sk-SK"/>
        </w:rPr>
        <w:t xml:space="preserve">nemotorovú dopravu na </w:t>
      </w:r>
      <w:proofErr w:type="spellStart"/>
      <w:r>
        <w:rPr>
          <w:rFonts w:ascii="Calibri" w:hAnsi="Calibri" w:cs="Calibri"/>
          <w:lang w:val="sk-SK"/>
        </w:rPr>
        <w:t>významej</w:t>
      </w:r>
      <w:proofErr w:type="spellEnd"/>
      <w:r>
        <w:rPr>
          <w:rFonts w:ascii="Calibri" w:hAnsi="Calibri" w:cs="Calibri"/>
          <w:lang w:val="sk-SK"/>
        </w:rPr>
        <w:t xml:space="preserve"> ulici v širšom centre mesta Trnava, ktorá je okrem tranzitnej a obytnej funkcie významná aj umiestnením troch škôl. Základným prvkom riešenia je vytvorenie komfortných jednosmerných </w:t>
      </w:r>
      <w:proofErr w:type="spellStart"/>
      <w:r>
        <w:rPr>
          <w:rFonts w:ascii="Calibri" w:hAnsi="Calibri" w:cs="Calibri"/>
          <w:lang w:val="sk-SK"/>
        </w:rPr>
        <w:t>cyklisticých</w:t>
      </w:r>
      <w:proofErr w:type="spellEnd"/>
      <w:r>
        <w:rPr>
          <w:rFonts w:ascii="Calibri" w:hAnsi="Calibri" w:cs="Calibri"/>
          <w:lang w:val="sk-SK"/>
        </w:rPr>
        <w:t xml:space="preserve"> pruhov po oboch stranách ulice</w:t>
      </w:r>
      <w:r>
        <w:rPr>
          <w:rFonts w:ascii="Calibri" w:hAnsi="Calibri" w:cs="Calibri"/>
          <w:lang w:val="sk-SK"/>
        </w:rPr>
        <w:t xml:space="preserve">, ktoré nahradili pásy parkujúcich vozidiel, pomocou dopravného značenia. Na projekt nadväzuje aj upokojenie priľahlých rezidenčných štvrtí </w:t>
      </w:r>
      <w:proofErr w:type="spellStart"/>
      <w:r>
        <w:rPr>
          <w:rFonts w:ascii="Calibri" w:hAnsi="Calibri" w:cs="Calibri"/>
          <w:lang w:val="sk-SK"/>
        </w:rPr>
        <w:t>zjednosmerením</w:t>
      </w:r>
      <w:proofErr w:type="spellEnd"/>
      <w:r>
        <w:rPr>
          <w:rFonts w:ascii="Calibri" w:hAnsi="Calibri" w:cs="Calibri"/>
          <w:lang w:val="sk-SK"/>
        </w:rPr>
        <w:t xml:space="preserve"> väčšiny ulíc. V slovenských podmienkach projekt vyniká odvážnym, na prvý pohľad možno politicky nepop</w:t>
      </w:r>
      <w:r>
        <w:rPr>
          <w:rFonts w:ascii="Calibri" w:hAnsi="Calibri" w:cs="Calibri"/>
          <w:lang w:val="sk-SK"/>
        </w:rPr>
        <w:t>ulárnym riešením, ktoré sa však ukazuje ako funkčný a veľmi efektívny spôsob podpory udržateľnej mobility v meste.</w:t>
      </w:r>
      <w:r>
        <w:rPr>
          <w:rFonts w:ascii="Calibri" w:hAnsi="Calibri" w:cs="Calibri"/>
        </w:rPr>
        <w:br/>
      </w:r>
    </w:p>
    <w:p w14:paraId="2EA3AB2B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t>Údaje o předkladateli:</w:t>
      </w:r>
    </w:p>
    <w:p w14:paraId="2EA3AB2C" w14:textId="77777777" w:rsidR="000777DE" w:rsidRDefault="00883B6B">
      <w:pPr>
        <w:pStyle w:val="Default"/>
        <w:tabs>
          <w:tab w:val="left" w:pos="720"/>
        </w:tabs>
        <w:ind w:left="360" w:hanging="360"/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Mesto</w:t>
      </w:r>
      <w:proofErr w:type="spellEnd"/>
      <w:r>
        <w:rPr>
          <w:rFonts w:ascii="Calibri" w:hAnsi="Calibri" w:cs="Calibri"/>
        </w:rPr>
        <w:t xml:space="preserve"> Trnava, </w:t>
      </w:r>
      <w:proofErr w:type="spellStart"/>
      <w:r>
        <w:rPr>
          <w:rFonts w:ascii="Calibri" w:hAnsi="Calibri" w:cs="Calibri"/>
        </w:rPr>
        <w:t>Hlavná</w:t>
      </w:r>
      <w:proofErr w:type="spellEnd"/>
      <w:r>
        <w:rPr>
          <w:rFonts w:ascii="Calibri" w:hAnsi="Calibri" w:cs="Calibri"/>
        </w:rPr>
        <w:t xml:space="preserve"> 1, 917 71 Trnava, IČO: 00313114</w:t>
      </w:r>
      <w:r>
        <w:rPr>
          <w:rFonts w:ascii="Calibri" w:hAnsi="Calibri" w:cs="Calibri"/>
        </w:rPr>
        <w:br/>
      </w:r>
    </w:p>
    <w:p w14:paraId="2EA3AB2D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t>Údaje o soutěžním řešení:</w:t>
      </w:r>
    </w:p>
    <w:p w14:paraId="2EA3AB2E" w14:textId="77777777" w:rsidR="000777DE" w:rsidRDefault="000777DE">
      <w:pPr>
        <w:pStyle w:val="Default"/>
        <w:ind w:left="720"/>
        <w:rPr>
          <w:rFonts w:ascii="Calibri" w:hAnsi="Calibri" w:cs="Calibri"/>
        </w:rPr>
      </w:pPr>
    </w:p>
    <w:p w14:paraId="2EA3AB2F" w14:textId="77777777" w:rsidR="000777DE" w:rsidRDefault="00883B6B">
      <w:pPr>
        <w:pStyle w:val="Default"/>
        <w:numPr>
          <w:ilvl w:val="0"/>
          <w:numId w:val="13"/>
        </w:numPr>
      </w:pPr>
      <w:r>
        <w:rPr>
          <w:rFonts w:ascii="Calibri" w:hAnsi="Calibri" w:cs="Calibri"/>
        </w:rPr>
        <w:t>Název</w:t>
      </w:r>
    </w:p>
    <w:p w14:paraId="2EA3AB30" w14:textId="77777777" w:rsidR="000777DE" w:rsidRDefault="00883B6B">
      <w:pPr>
        <w:pStyle w:val="Default"/>
        <w:ind w:left="720" w:firstLine="180"/>
      </w:pPr>
      <w:r>
        <w:rPr>
          <w:rFonts w:ascii="Calibri" w:hAnsi="Calibri" w:cs="Calibri"/>
          <w:lang w:val="sk-SK"/>
        </w:rPr>
        <w:t>C</w:t>
      </w:r>
      <w:proofErr w:type="spellStart"/>
      <w:r>
        <w:rPr>
          <w:rFonts w:ascii="Calibri" w:hAnsi="Calibri" w:cs="Calibri"/>
        </w:rPr>
        <w:t>yklistické</w:t>
      </w:r>
      <w:proofErr w:type="spellEnd"/>
      <w:r>
        <w:rPr>
          <w:rFonts w:ascii="Calibri" w:hAnsi="Calibri" w:cs="Calibri"/>
        </w:rPr>
        <w:t xml:space="preserve"> pruhy na </w:t>
      </w:r>
      <w:proofErr w:type="spellStart"/>
      <w:r>
        <w:rPr>
          <w:rFonts w:ascii="Calibri" w:hAnsi="Calibri" w:cs="Calibri"/>
        </w:rPr>
        <w:t>Študentskej</w:t>
      </w:r>
      <w:proofErr w:type="spellEnd"/>
      <w:r>
        <w:rPr>
          <w:rFonts w:ascii="Calibri" w:hAnsi="Calibri" w:cs="Calibri"/>
        </w:rPr>
        <w:t xml:space="preserve"> ulici v </w:t>
      </w:r>
      <w:proofErr w:type="spellStart"/>
      <w:r>
        <w:rPr>
          <w:rFonts w:ascii="Calibri" w:hAnsi="Calibri" w:cs="Calibri"/>
        </w:rPr>
        <w:t>Trnave</w:t>
      </w:r>
      <w:proofErr w:type="spellEnd"/>
    </w:p>
    <w:p w14:paraId="2EA3AB31" w14:textId="77777777" w:rsidR="000777DE" w:rsidRDefault="00883B6B">
      <w:pPr>
        <w:pStyle w:val="Default"/>
        <w:numPr>
          <w:ilvl w:val="0"/>
          <w:numId w:val="12"/>
        </w:numPr>
      </w:pPr>
      <w:r>
        <w:rPr>
          <w:rFonts w:ascii="Calibri" w:hAnsi="Calibri" w:cs="Calibri"/>
          <w:color w:val="auto"/>
        </w:rPr>
        <w:t>lokalizace</w:t>
      </w:r>
    </w:p>
    <w:p w14:paraId="2EA3AB32" w14:textId="77777777" w:rsidR="000777DE" w:rsidRDefault="00883B6B">
      <w:pPr>
        <w:pStyle w:val="Default"/>
        <w:ind w:left="720" w:firstLine="180"/>
      </w:pPr>
      <w:r>
        <w:rPr>
          <w:rFonts w:ascii="Calibri" w:hAnsi="Calibri" w:cs="Calibri"/>
        </w:rPr>
        <w:t xml:space="preserve">Trnava, </w:t>
      </w:r>
      <w:proofErr w:type="spellStart"/>
      <w:r>
        <w:rPr>
          <w:rFonts w:ascii="Calibri" w:hAnsi="Calibri" w:cs="Calibri"/>
        </w:rPr>
        <w:t>Študentská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ulica</w:t>
      </w:r>
      <w:proofErr w:type="spellEnd"/>
    </w:p>
    <w:p w14:paraId="2EA3AB33" w14:textId="77777777" w:rsidR="000777DE" w:rsidRDefault="00883B6B">
      <w:pPr>
        <w:pStyle w:val="Default"/>
        <w:numPr>
          <w:ilvl w:val="0"/>
          <w:numId w:val="14"/>
        </w:numPr>
      </w:pPr>
      <w:r>
        <w:rPr>
          <w:rFonts w:ascii="Calibri" w:hAnsi="Calibri" w:cs="Calibri"/>
          <w:color w:val="auto"/>
        </w:rPr>
        <w:t>autorský tým (jména autorů, kontaktní adresa, telefon, e-mail na jejich zástupce).</w:t>
      </w:r>
    </w:p>
    <w:p w14:paraId="2EA3AB34" w14:textId="77777777" w:rsidR="000777DE" w:rsidRDefault="00883B6B">
      <w:pPr>
        <w:pStyle w:val="Default"/>
        <w:ind w:left="720"/>
      </w:pPr>
      <w:r>
        <w:rPr>
          <w:rFonts w:ascii="Calibri" w:hAnsi="Calibri" w:cs="Calibri"/>
        </w:rPr>
        <w:t xml:space="preserve">   Michal </w:t>
      </w:r>
      <w:proofErr w:type="spellStart"/>
      <w:r>
        <w:rPr>
          <w:rFonts w:ascii="Calibri" w:hAnsi="Calibri" w:cs="Calibri"/>
        </w:rPr>
        <w:t>Ďurta</w:t>
      </w:r>
      <w:proofErr w:type="spellEnd"/>
      <w:r>
        <w:rPr>
          <w:rFonts w:ascii="Calibri" w:hAnsi="Calibri" w:cs="Calibri"/>
        </w:rPr>
        <w:t xml:space="preserve">, Kristína </w:t>
      </w:r>
      <w:proofErr w:type="spellStart"/>
      <w:r>
        <w:rPr>
          <w:rFonts w:ascii="Calibri" w:hAnsi="Calibri" w:cs="Calibri"/>
        </w:rPr>
        <w:t>Griačová</w:t>
      </w:r>
      <w:proofErr w:type="spellEnd"/>
      <w:r>
        <w:rPr>
          <w:rFonts w:ascii="Calibri" w:hAnsi="Calibri" w:cs="Calibri"/>
        </w:rPr>
        <w:t>, Dan Kollár (</w:t>
      </w:r>
      <w:proofErr w:type="spellStart"/>
      <w:r>
        <w:rPr>
          <w:rFonts w:ascii="Calibri" w:hAnsi="Calibri" w:cs="Calibri"/>
        </w:rPr>
        <w:t>Cyklokoalícia</w:t>
      </w:r>
      <w:proofErr w:type="spellEnd"/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+</w:t>
      </w:r>
      <w:r>
        <w:rPr>
          <w:rFonts w:ascii="Calibri" w:hAnsi="Calibri" w:cs="Calibri"/>
          <w:lang w:val="sk-SK"/>
        </w:rPr>
        <w:t xml:space="preserve">421940623877, </w:t>
      </w:r>
      <w:proofErr w:type="spellStart"/>
      <w:r>
        <w:rPr>
          <w:rFonts w:ascii="Calibri" w:hAnsi="Calibri" w:cs="Calibri"/>
        </w:rPr>
        <w:t>Partizánska</w:t>
      </w:r>
      <w:proofErr w:type="spellEnd"/>
      <w:r>
        <w:rPr>
          <w:rFonts w:ascii="Calibri" w:hAnsi="Calibri" w:cs="Calibri"/>
        </w:rPr>
        <w:t xml:space="preserve"> 2, 811 03 Bratislava</w:t>
      </w:r>
      <w:r>
        <w:rPr>
          <w:rFonts w:ascii="Calibri" w:hAnsi="Calibri" w:cs="Calibri"/>
        </w:rPr>
        <w:t xml:space="preserve">, </w:t>
      </w:r>
      <w:hyperlink r:id="rId7" w:history="1">
        <w:r>
          <w:rPr>
            <w:rStyle w:val="Internetlink"/>
            <w:rFonts w:ascii="Calibri" w:hAnsi="Calibri" w:cs="Calibri"/>
          </w:rPr>
          <w:t>info@cyklokoalicia.sk</w:t>
        </w:r>
      </w:hyperlink>
      <w:r>
        <w:rPr>
          <w:rFonts w:ascii="Calibri" w:hAnsi="Calibri" w:cs="Calibri"/>
        </w:rPr>
        <w:t>)</w:t>
      </w:r>
    </w:p>
    <w:p w14:paraId="2EA3AB35" w14:textId="77777777" w:rsidR="000777DE" w:rsidRDefault="00883B6B">
      <w:pPr>
        <w:pStyle w:val="Default"/>
        <w:numPr>
          <w:ilvl w:val="2"/>
          <w:numId w:val="15"/>
        </w:numPr>
        <w:ind w:left="737" w:hanging="397"/>
      </w:pPr>
      <w:r>
        <w:rPr>
          <w:rFonts w:ascii="Calibri" w:hAnsi="Calibri" w:cs="Calibri"/>
        </w:rPr>
        <w:t xml:space="preserve">jak byl </w:t>
      </w:r>
      <w:r>
        <w:rPr>
          <w:rFonts w:ascii="Calibri" w:hAnsi="Calibri" w:cs="Calibri"/>
          <w:color w:val="auto"/>
        </w:rPr>
        <w:t>vybrán</w:t>
      </w:r>
      <w:r>
        <w:rPr>
          <w:rFonts w:ascii="Calibri" w:hAnsi="Calibri" w:cs="Calibri"/>
        </w:rPr>
        <w:t xml:space="preserve"> zpracovatel projektu (oslovení, veřejná soutěž, …. jinak)</w:t>
      </w:r>
    </w:p>
    <w:p w14:paraId="2EA3AB36" w14:textId="77777777" w:rsidR="000777DE" w:rsidRDefault="00883B6B">
      <w:pPr>
        <w:pStyle w:val="Default"/>
      </w:pPr>
      <w:r>
        <w:rPr>
          <w:rFonts w:ascii="Calibri" w:hAnsi="Calibri" w:cs="Calibri"/>
        </w:rPr>
        <w:tab/>
        <w:t xml:space="preserve">   oslovením</w:t>
      </w:r>
      <w:r>
        <w:rPr>
          <w:rFonts w:ascii="Calibri" w:hAnsi="Calibri" w:cs="Calibri"/>
        </w:rPr>
        <w:br/>
      </w:r>
    </w:p>
    <w:p w14:paraId="2EA3AB37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t>Údaje o realizaci:</w:t>
      </w:r>
    </w:p>
    <w:p w14:paraId="2EA3AB38" w14:textId="77777777" w:rsidR="000777DE" w:rsidRDefault="00883B6B">
      <w:pPr>
        <w:pStyle w:val="Default"/>
        <w:numPr>
          <w:ilvl w:val="0"/>
          <w:numId w:val="16"/>
        </w:numPr>
        <w:ind w:left="720" w:hanging="360"/>
      </w:pPr>
      <w:r>
        <w:rPr>
          <w:rFonts w:ascii="Calibri" w:hAnsi="Calibri" w:cs="Calibri"/>
        </w:rPr>
        <w:t>Gen. Dodavatel</w:t>
      </w:r>
    </w:p>
    <w:p w14:paraId="2EA3AB39" w14:textId="77777777" w:rsidR="000777DE" w:rsidRDefault="00883B6B">
      <w:pPr>
        <w:pStyle w:val="Default"/>
        <w:ind w:firstLine="708"/>
      </w:pPr>
      <w:r>
        <w:rPr>
          <w:rFonts w:ascii="Calibri" w:hAnsi="Calibri" w:cs="Calibri"/>
        </w:rPr>
        <w:t xml:space="preserve">Referát technických činností dopravy – </w:t>
      </w:r>
      <w:proofErr w:type="spellStart"/>
      <w:r>
        <w:rPr>
          <w:rFonts w:ascii="Calibri" w:hAnsi="Calibri" w:cs="Calibri"/>
        </w:rPr>
        <w:t>Mesto</w:t>
      </w:r>
      <w:proofErr w:type="spellEnd"/>
      <w:r>
        <w:rPr>
          <w:rFonts w:ascii="Calibri" w:hAnsi="Calibri" w:cs="Calibri"/>
        </w:rPr>
        <w:t xml:space="preserve"> Trnava</w:t>
      </w:r>
    </w:p>
    <w:p w14:paraId="2EA3AB3A" w14:textId="77777777" w:rsidR="000777DE" w:rsidRDefault="00883B6B">
      <w:pPr>
        <w:pStyle w:val="Default"/>
        <w:numPr>
          <w:ilvl w:val="0"/>
          <w:numId w:val="11"/>
        </w:numPr>
        <w:ind w:left="720" w:hanging="360"/>
      </w:pPr>
      <w:r>
        <w:rPr>
          <w:rFonts w:ascii="Calibri" w:hAnsi="Calibri" w:cs="Calibri"/>
        </w:rPr>
        <w:t xml:space="preserve">Datum </w:t>
      </w:r>
      <w:proofErr w:type="spellStart"/>
      <w:r>
        <w:rPr>
          <w:rFonts w:ascii="Calibri" w:hAnsi="Calibri" w:cs="Calibri"/>
        </w:rPr>
        <w:t>realizacie</w:t>
      </w:r>
      <w:proofErr w:type="spellEnd"/>
    </w:p>
    <w:p w14:paraId="2EA3AB3B" w14:textId="77777777" w:rsidR="000777DE" w:rsidRDefault="00883B6B">
      <w:pPr>
        <w:pStyle w:val="Default"/>
        <w:ind w:left="720"/>
      </w:pPr>
      <w:r>
        <w:rPr>
          <w:rFonts w:ascii="Calibri" w:hAnsi="Calibri" w:cs="Calibri"/>
          <w:lang w:val="sk-SK"/>
        </w:rPr>
        <w:t xml:space="preserve">Máj </w:t>
      </w:r>
      <w:r>
        <w:rPr>
          <w:rFonts w:ascii="Calibri" w:hAnsi="Calibri" w:cs="Calibri"/>
        </w:rPr>
        <w:t>2021</w:t>
      </w:r>
    </w:p>
    <w:p w14:paraId="2EA3AB3C" w14:textId="77777777" w:rsidR="000777DE" w:rsidRDefault="00883B6B">
      <w:pPr>
        <w:pStyle w:val="Default"/>
        <w:numPr>
          <w:ilvl w:val="0"/>
          <w:numId w:val="11"/>
        </w:numPr>
        <w:ind w:left="720" w:hanging="360"/>
      </w:pPr>
      <w:r>
        <w:rPr>
          <w:rFonts w:ascii="Calibri" w:hAnsi="Calibri" w:cs="Calibri"/>
        </w:rPr>
        <w:t>Funkční určení stavby</w:t>
      </w:r>
    </w:p>
    <w:p w14:paraId="2EA3AB3D" w14:textId="77777777" w:rsidR="000777DE" w:rsidRDefault="00883B6B">
      <w:pPr>
        <w:pStyle w:val="Default"/>
        <w:ind w:firstLine="708"/>
      </w:pPr>
      <w:r>
        <w:rPr>
          <w:rFonts w:ascii="Calibri" w:hAnsi="Calibri" w:cs="Calibri"/>
        </w:rPr>
        <w:t xml:space="preserve">Projekt </w:t>
      </w:r>
      <w:proofErr w:type="spellStart"/>
      <w:r>
        <w:rPr>
          <w:rFonts w:ascii="Calibri" w:hAnsi="Calibri" w:cs="Calibri"/>
        </w:rPr>
        <w:t>organizácie</w:t>
      </w:r>
      <w:proofErr w:type="spellEnd"/>
      <w:r>
        <w:rPr>
          <w:rFonts w:ascii="Calibri" w:hAnsi="Calibri" w:cs="Calibri"/>
        </w:rPr>
        <w:t xml:space="preserve"> dopravy</w:t>
      </w:r>
      <w:r>
        <w:rPr>
          <w:rFonts w:ascii="Calibri" w:hAnsi="Calibri" w:cs="Calibri"/>
        </w:rPr>
        <w:br/>
      </w:r>
    </w:p>
    <w:p w14:paraId="2EA3AB3E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t>Údaje o investorovi stavebního díla (zejména):</w:t>
      </w:r>
    </w:p>
    <w:p w14:paraId="2EA3AB3F" w14:textId="77777777" w:rsidR="000777DE" w:rsidRDefault="00883B6B">
      <w:pPr>
        <w:pStyle w:val="Default"/>
        <w:numPr>
          <w:ilvl w:val="2"/>
          <w:numId w:val="5"/>
        </w:numPr>
        <w:ind w:left="1080"/>
      </w:pPr>
      <w:r>
        <w:rPr>
          <w:rFonts w:ascii="Calibri" w:hAnsi="Calibri" w:cs="Calibri"/>
        </w:rPr>
        <w:t>název, sídlo, adresa, kontaktní osoba (telefon, e-mail),</w:t>
      </w:r>
    </w:p>
    <w:p w14:paraId="2EA3AB40" w14:textId="77777777" w:rsidR="000777DE" w:rsidRDefault="00883B6B">
      <w:pPr>
        <w:pStyle w:val="Default"/>
        <w:ind w:left="1080"/>
      </w:pPr>
      <w:proofErr w:type="spellStart"/>
      <w:r>
        <w:rPr>
          <w:rFonts w:ascii="Calibri" w:hAnsi="Calibri" w:cs="Calibri"/>
        </w:rPr>
        <w:t>Mesto</w:t>
      </w:r>
      <w:proofErr w:type="spellEnd"/>
      <w:r>
        <w:rPr>
          <w:rFonts w:ascii="Calibri" w:hAnsi="Calibri" w:cs="Calibri"/>
        </w:rPr>
        <w:t xml:space="preserve"> Trnava, </w:t>
      </w:r>
      <w:proofErr w:type="spellStart"/>
      <w:r>
        <w:rPr>
          <w:rFonts w:ascii="Calibri" w:hAnsi="Calibri" w:cs="Calibri"/>
        </w:rPr>
        <w:t>Hlavná</w:t>
      </w:r>
      <w:proofErr w:type="spellEnd"/>
      <w:r>
        <w:rPr>
          <w:rFonts w:ascii="Calibri" w:hAnsi="Calibri" w:cs="Calibri"/>
        </w:rPr>
        <w:t xml:space="preserve"> 1, 917 71 Trnava, IČO: 00313114</w:t>
      </w:r>
    </w:p>
    <w:p w14:paraId="2EA3AB41" w14:textId="77777777" w:rsidR="000777DE" w:rsidRDefault="00883B6B">
      <w:pPr>
        <w:pStyle w:val="Default"/>
        <w:numPr>
          <w:ilvl w:val="2"/>
          <w:numId w:val="5"/>
        </w:numPr>
        <w:ind w:left="1080"/>
      </w:pPr>
      <w:r>
        <w:rPr>
          <w:rFonts w:ascii="Calibri" w:hAnsi="Calibri" w:cs="Calibri"/>
        </w:rPr>
        <w:t xml:space="preserve">způsob </w:t>
      </w:r>
      <w:r>
        <w:rPr>
          <w:rFonts w:ascii="Calibri" w:hAnsi="Calibri" w:cs="Calibri"/>
        </w:rPr>
        <w:t>financování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Rozpočet </w:t>
      </w:r>
      <w:proofErr w:type="spellStart"/>
      <w:r>
        <w:rPr>
          <w:rFonts w:ascii="Calibri" w:hAnsi="Calibri" w:cs="Calibri"/>
        </w:rPr>
        <w:t>mesta</w:t>
      </w:r>
      <w:proofErr w:type="spellEnd"/>
      <w:r>
        <w:rPr>
          <w:rFonts w:ascii="Calibri" w:hAnsi="Calibri" w:cs="Calibri"/>
        </w:rPr>
        <w:br/>
      </w:r>
    </w:p>
    <w:p w14:paraId="2EA3AB42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lastRenderedPageBreak/>
        <w:t>Stručný popis stavu před a po realizaci, bodový výčet přínosů realizace</w:t>
      </w:r>
    </w:p>
    <w:p w14:paraId="2EA3AB43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Urbanisticko-architektonický kontext (krajinný a městský kontext)</w:t>
      </w:r>
    </w:p>
    <w:p w14:paraId="2EA3AB44" w14:textId="77777777" w:rsidR="000777DE" w:rsidRDefault="00883B6B">
      <w:pPr>
        <w:pStyle w:val="Default"/>
        <w:tabs>
          <w:tab w:val="left" w:pos="2520"/>
        </w:tabs>
        <w:ind w:left="1260" w:hanging="3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ab/>
      </w:r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>Študentská ulica je ulicou širšom centre mesta Trnava s dĺžkou zhruba 620 metrov s potenc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 xml:space="preserve">iálom dosiahnutia kvalít mestského bulváru. Slúži ako spojenie medzi centrálnou mestskou zónou vyústením pri mestských hradbách na jednej strane, a sídliskom Prednádražie na strane druhej. Na ulici sa, v kontraste k zástavbe v okolitých uliciach, nachádza 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 xml:space="preserve">niekoľko viacpodlažných budov s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>polyfunkciou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 xml:space="preserve">. Charakteristické je umiestnenie troch škôl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>celo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 xml:space="preserve"> mestského až regionálneho významu (základná a dve stredné školy).</w:t>
      </w:r>
    </w:p>
    <w:p w14:paraId="2EA3AB45" w14:textId="77777777" w:rsidR="000777DE" w:rsidRDefault="000777DE">
      <w:pPr>
        <w:pStyle w:val="Default"/>
        <w:tabs>
          <w:tab w:val="left" w:pos="2520"/>
        </w:tabs>
        <w:ind w:left="1260" w:hanging="360"/>
      </w:pPr>
    </w:p>
    <w:p w14:paraId="2EA3AB46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Architektonické řešení</w:t>
      </w:r>
    </w:p>
    <w:p w14:paraId="2EA3AB47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Uživatelská kvalita (funkční řešení, komfort užití, bezpečnost)</w:t>
      </w:r>
      <w:r>
        <w:rPr>
          <w:rStyle w:val="apple-converted-space"/>
          <w:rFonts w:ascii="Calibri" w:hAnsi="Calibri" w:cs="Calibri"/>
          <w:shd w:val="clear" w:color="auto" w:fill="FFFFFF"/>
        </w:rPr>
        <w:t> </w:t>
      </w:r>
    </w:p>
    <w:p w14:paraId="2EA3AB48" w14:textId="77777777" w:rsidR="000777DE" w:rsidRDefault="00883B6B">
      <w:pPr>
        <w:pStyle w:val="Default"/>
        <w:ind w:left="1260"/>
      </w:pPr>
      <w:r>
        <w:rPr>
          <w:rStyle w:val="apple-converted-space"/>
          <w:rFonts w:ascii="Calibri" w:hAnsi="Calibri" w:cs="Calibri"/>
        </w:rPr>
        <w:t>Cyklist</w:t>
      </w:r>
      <w:r>
        <w:rPr>
          <w:rStyle w:val="apple-converted-space"/>
          <w:rFonts w:ascii="Calibri" w:hAnsi="Calibri" w:cs="Calibri"/>
        </w:rPr>
        <w:t xml:space="preserve">ické pruhy na </w:t>
      </w:r>
      <w:proofErr w:type="spellStart"/>
      <w:r>
        <w:rPr>
          <w:rStyle w:val="apple-converted-space"/>
          <w:rFonts w:ascii="Calibri" w:hAnsi="Calibri" w:cs="Calibri"/>
        </w:rPr>
        <w:t>Študentskej</w:t>
      </w:r>
      <w:proofErr w:type="spellEnd"/>
      <w:r>
        <w:rPr>
          <w:rStyle w:val="apple-converted-space"/>
          <w:rFonts w:ascii="Calibri" w:hAnsi="Calibri" w:cs="Calibri"/>
        </w:rPr>
        <w:t xml:space="preserve"> ulici </w:t>
      </w:r>
      <w:proofErr w:type="spellStart"/>
      <w:r>
        <w:rPr>
          <w:rStyle w:val="apple-converted-space"/>
          <w:rFonts w:ascii="Calibri" w:hAnsi="Calibri" w:cs="Calibri"/>
        </w:rPr>
        <w:t>výrazne</w:t>
      </w:r>
      <w:proofErr w:type="spellEnd"/>
      <w:r>
        <w:rPr>
          <w:rStyle w:val="apple-converted-space"/>
          <w:rFonts w:ascii="Calibri" w:hAnsi="Calibri" w:cs="Calibri"/>
        </w:rPr>
        <w:t xml:space="preserve"> zvýšili </w:t>
      </w:r>
      <w:proofErr w:type="spellStart"/>
      <w:r>
        <w:rPr>
          <w:rStyle w:val="apple-converted-space"/>
          <w:rFonts w:ascii="Calibri" w:hAnsi="Calibri" w:cs="Calibri"/>
        </w:rPr>
        <w:t>komplexnú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bezpečnosť</w:t>
      </w:r>
      <w:proofErr w:type="spellEnd"/>
      <w:r>
        <w:rPr>
          <w:rStyle w:val="apple-converted-space"/>
          <w:rFonts w:ascii="Calibri" w:hAnsi="Calibri" w:cs="Calibri"/>
        </w:rPr>
        <w:t xml:space="preserve"> dopravy v </w:t>
      </w:r>
      <w:proofErr w:type="spellStart"/>
      <w:r>
        <w:rPr>
          <w:rStyle w:val="apple-converted-space"/>
          <w:rFonts w:ascii="Calibri" w:hAnsi="Calibri" w:cs="Calibri"/>
        </w:rPr>
        <w:t>danej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komunikácií</w:t>
      </w:r>
      <w:proofErr w:type="spellEnd"/>
      <w:r>
        <w:rPr>
          <w:rStyle w:val="apple-converted-space"/>
          <w:rFonts w:ascii="Calibri" w:hAnsi="Calibri" w:cs="Calibri"/>
        </w:rPr>
        <w:t xml:space="preserve">. </w:t>
      </w:r>
      <w:proofErr w:type="spellStart"/>
      <w:r>
        <w:rPr>
          <w:rStyle w:val="apple-converted-space"/>
          <w:rFonts w:ascii="Calibri" w:hAnsi="Calibri" w:cs="Calibri"/>
        </w:rPr>
        <w:t>Odstránením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parkovania</w:t>
      </w:r>
      <w:proofErr w:type="spellEnd"/>
      <w:r>
        <w:rPr>
          <w:rStyle w:val="apple-converted-space"/>
          <w:rFonts w:ascii="Calibri" w:hAnsi="Calibri" w:cs="Calibri"/>
          <w:lang w:val="sk-SK"/>
        </w:rPr>
        <w:t xml:space="preserve"> automobilov </w:t>
      </w:r>
      <w:r>
        <w:rPr>
          <w:rStyle w:val="apple-converted-space"/>
          <w:rFonts w:ascii="Calibri" w:hAnsi="Calibri" w:cs="Calibri"/>
        </w:rPr>
        <w:t xml:space="preserve">z ulice a jeho </w:t>
      </w:r>
      <w:proofErr w:type="spellStart"/>
      <w:r>
        <w:rPr>
          <w:rStyle w:val="apple-converted-space"/>
          <w:rFonts w:ascii="Calibri" w:hAnsi="Calibri" w:cs="Calibri"/>
        </w:rPr>
        <w:t>nahradením</w:t>
      </w:r>
      <w:proofErr w:type="spellEnd"/>
      <w:r>
        <w:rPr>
          <w:rStyle w:val="apple-converted-space"/>
          <w:rFonts w:ascii="Calibri" w:hAnsi="Calibri" w:cs="Calibri"/>
        </w:rPr>
        <w:t xml:space="preserve"> cyklistickými </w:t>
      </w:r>
      <w:proofErr w:type="spellStart"/>
      <w:r>
        <w:rPr>
          <w:rStyle w:val="apple-converted-space"/>
          <w:rFonts w:ascii="Calibri" w:hAnsi="Calibri" w:cs="Calibri"/>
        </w:rPr>
        <w:t>pruhmi</w:t>
      </w:r>
      <w:proofErr w:type="spellEnd"/>
      <w:r>
        <w:rPr>
          <w:rStyle w:val="apple-converted-space"/>
          <w:rFonts w:ascii="Calibri" w:hAnsi="Calibri" w:cs="Calibri"/>
        </w:rPr>
        <w:t xml:space="preserve"> došlo </w:t>
      </w:r>
      <w:proofErr w:type="spellStart"/>
      <w:r>
        <w:rPr>
          <w:rStyle w:val="apple-converted-space"/>
          <w:rFonts w:ascii="Calibri" w:hAnsi="Calibri" w:cs="Calibri"/>
        </w:rPr>
        <w:t>nielen</w:t>
      </w:r>
      <w:proofErr w:type="spellEnd"/>
      <w:r>
        <w:rPr>
          <w:rStyle w:val="apple-converted-space"/>
          <w:rFonts w:ascii="Calibri" w:hAnsi="Calibri" w:cs="Calibri"/>
        </w:rPr>
        <w:t xml:space="preserve"> k </w:t>
      </w:r>
      <w:proofErr w:type="spellStart"/>
      <w:r>
        <w:rPr>
          <w:rStyle w:val="apple-converted-space"/>
          <w:rFonts w:ascii="Calibri" w:hAnsi="Calibri" w:cs="Calibri"/>
        </w:rPr>
        <w:t>vytvoreniu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komfortného</w:t>
      </w:r>
      <w:proofErr w:type="spellEnd"/>
      <w:r>
        <w:rPr>
          <w:rStyle w:val="apple-converted-space"/>
          <w:rFonts w:ascii="Calibri" w:hAnsi="Calibri" w:cs="Calibri"/>
        </w:rPr>
        <w:t xml:space="preserve"> a bezpečného </w:t>
      </w:r>
      <w:proofErr w:type="spellStart"/>
      <w:r>
        <w:rPr>
          <w:rStyle w:val="apple-converted-space"/>
          <w:rFonts w:ascii="Calibri" w:hAnsi="Calibri" w:cs="Calibri"/>
        </w:rPr>
        <w:t>priestoru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pre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cyklistov</w:t>
      </w:r>
      <w:proofErr w:type="spellEnd"/>
      <w:r>
        <w:rPr>
          <w:rStyle w:val="apple-converted-space"/>
          <w:rFonts w:ascii="Calibri" w:hAnsi="Calibri" w:cs="Calibri"/>
        </w:rPr>
        <w:t xml:space="preserve">, </w:t>
      </w:r>
      <w:r>
        <w:rPr>
          <w:rStyle w:val="apple-converted-space"/>
          <w:rFonts w:ascii="Calibri" w:hAnsi="Calibri" w:cs="Calibri"/>
        </w:rPr>
        <w:t xml:space="preserve">ale aj k celkovému </w:t>
      </w:r>
      <w:proofErr w:type="spellStart"/>
      <w:r>
        <w:rPr>
          <w:rStyle w:val="apple-converted-space"/>
          <w:rFonts w:ascii="Calibri" w:hAnsi="Calibri" w:cs="Calibri"/>
        </w:rPr>
        <w:t>sprehľadneniu</w:t>
      </w:r>
      <w:proofErr w:type="spellEnd"/>
      <w:r>
        <w:rPr>
          <w:rStyle w:val="apple-converted-space"/>
          <w:rFonts w:ascii="Calibri" w:hAnsi="Calibri" w:cs="Calibri"/>
          <w:lang w:val="sk-SK"/>
        </w:rPr>
        <w:t xml:space="preserve"> a spríjemneniu </w:t>
      </w:r>
      <w:r>
        <w:rPr>
          <w:rStyle w:val="apple-converted-space"/>
          <w:rFonts w:ascii="Calibri" w:hAnsi="Calibri" w:cs="Calibri"/>
        </w:rPr>
        <w:t xml:space="preserve">ulice. Cyklistické pruhy sú </w:t>
      </w:r>
      <w:proofErr w:type="spellStart"/>
      <w:r>
        <w:rPr>
          <w:rStyle w:val="apple-converted-space"/>
          <w:rFonts w:ascii="Calibri" w:hAnsi="Calibri" w:cs="Calibri"/>
        </w:rPr>
        <w:t>svojou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šírkou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r>
        <w:rPr>
          <w:rStyle w:val="apple-converted-space"/>
          <w:rFonts w:ascii="Calibri" w:hAnsi="Calibri" w:cs="Calibri"/>
          <w:lang w:val="sk-SK"/>
        </w:rPr>
        <w:t xml:space="preserve">2,2 metra </w:t>
      </w:r>
      <w:proofErr w:type="spellStart"/>
      <w:r>
        <w:rPr>
          <w:rStyle w:val="apple-converted-space"/>
          <w:rFonts w:ascii="Calibri" w:hAnsi="Calibri" w:cs="Calibri"/>
        </w:rPr>
        <w:t>dostatočne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komfortné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pre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jazdu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dvoch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cyklistov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vedľa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seba</w:t>
      </w:r>
      <w:proofErr w:type="spellEnd"/>
      <w:r>
        <w:rPr>
          <w:rStyle w:val="apple-converted-space"/>
          <w:rFonts w:ascii="Calibri" w:hAnsi="Calibri" w:cs="Calibri"/>
        </w:rPr>
        <w:t xml:space="preserve"> v jednom </w:t>
      </w:r>
      <w:proofErr w:type="spellStart"/>
      <w:r>
        <w:rPr>
          <w:rStyle w:val="apple-converted-space"/>
          <w:rFonts w:ascii="Calibri" w:hAnsi="Calibri" w:cs="Calibri"/>
        </w:rPr>
        <w:t>smere</w:t>
      </w:r>
      <w:proofErr w:type="spellEnd"/>
      <w:r>
        <w:rPr>
          <w:rStyle w:val="apple-converted-space"/>
          <w:rFonts w:ascii="Calibri" w:hAnsi="Calibri" w:cs="Calibri"/>
        </w:rPr>
        <w:t>,</w:t>
      </w:r>
      <w:r>
        <w:rPr>
          <w:rStyle w:val="apple-converted-space"/>
          <w:rFonts w:ascii="Calibri" w:hAnsi="Calibri" w:cs="Calibri"/>
          <w:lang w:val="sk-SK"/>
        </w:rPr>
        <w:t xml:space="preserve"> čo na Slovensku nie je bežné. </w:t>
      </w:r>
      <w:proofErr w:type="spellStart"/>
      <w:r>
        <w:rPr>
          <w:rStyle w:val="apple-converted-space"/>
          <w:rFonts w:ascii="Calibri" w:hAnsi="Calibri" w:cs="Calibri"/>
        </w:rPr>
        <w:t>Riešenie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vytvára</w:t>
      </w:r>
      <w:proofErr w:type="spellEnd"/>
      <w:r>
        <w:rPr>
          <w:rStyle w:val="apple-converted-space"/>
          <w:rFonts w:ascii="Calibri" w:hAnsi="Calibri" w:cs="Calibri"/>
        </w:rPr>
        <w:t xml:space="preserve"> bezpečný </w:t>
      </w:r>
      <w:proofErr w:type="spellStart"/>
      <w:r>
        <w:rPr>
          <w:rStyle w:val="apple-converted-space"/>
          <w:rFonts w:ascii="Calibri" w:hAnsi="Calibri" w:cs="Calibri"/>
        </w:rPr>
        <w:t>priestor</w:t>
      </w:r>
      <w:proofErr w:type="spellEnd"/>
      <w:r>
        <w:rPr>
          <w:rStyle w:val="apple-converted-space"/>
          <w:rFonts w:ascii="Calibri" w:hAnsi="Calibri" w:cs="Calibri"/>
        </w:rPr>
        <w:t xml:space="preserve"> použitím pevných </w:t>
      </w:r>
      <w:proofErr w:type="spellStart"/>
      <w:r>
        <w:rPr>
          <w:rStyle w:val="apple-converted-space"/>
          <w:rFonts w:ascii="Calibri" w:hAnsi="Calibri" w:cs="Calibri"/>
        </w:rPr>
        <w:t>oddeľovačov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medzi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jazdným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pásom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pre</w:t>
      </w:r>
      <w:proofErr w:type="spellEnd"/>
      <w:r>
        <w:rPr>
          <w:rStyle w:val="apple-converted-space"/>
          <w:rFonts w:ascii="Calibri" w:hAnsi="Calibri" w:cs="Calibri"/>
        </w:rPr>
        <w:t xml:space="preserve"> motorové </w:t>
      </w:r>
      <w:proofErr w:type="spellStart"/>
      <w:r>
        <w:rPr>
          <w:rStyle w:val="apple-converted-space"/>
          <w:rFonts w:ascii="Calibri" w:hAnsi="Calibri" w:cs="Calibri"/>
        </w:rPr>
        <w:t>vozidlá</w:t>
      </w:r>
      <w:proofErr w:type="spellEnd"/>
      <w:r>
        <w:rPr>
          <w:rStyle w:val="apple-converted-space"/>
          <w:rFonts w:ascii="Calibri" w:hAnsi="Calibri" w:cs="Calibri"/>
        </w:rPr>
        <w:t xml:space="preserve"> a </w:t>
      </w:r>
      <w:proofErr w:type="spellStart"/>
      <w:r>
        <w:rPr>
          <w:rStyle w:val="apple-converted-space"/>
          <w:rFonts w:ascii="Calibri" w:hAnsi="Calibri" w:cs="Calibri"/>
        </w:rPr>
        <w:t>cyklopruhom</w:t>
      </w:r>
      <w:proofErr w:type="spellEnd"/>
      <w:r>
        <w:rPr>
          <w:rStyle w:val="apple-converted-space"/>
          <w:rFonts w:ascii="Calibri" w:hAnsi="Calibri" w:cs="Calibri"/>
        </w:rPr>
        <w:t xml:space="preserve">. </w:t>
      </w:r>
      <w:proofErr w:type="spellStart"/>
      <w:r>
        <w:rPr>
          <w:rStyle w:val="apple-converted-space"/>
          <w:rFonts w:ascii="Calibri" w:hAnsi="Calibri" w:cs="Calibri"/>
        </w:rPr>
        <w:t>Komunikácia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nadväzuje</w:t>
      </w:r>
      <w:proofErr w:type="spellEnd"/>
      <w:r>
        <w:rPr>
          <w:rStyle w:val="apple-converted-space"/>
          <w:rFonts w:ascii="Calibri" w:hAnsi="Calibri" w:cs="Calibri"/>
        </w:rPr>
        <w:t xml:space="preserve"> na </w:t>
      </w:r>
      <w:proofErr w:type="spellStart"/>
      <w:r>
        <w:rPr>
          <w:rStyle w:val="apple-converted-space"/>
          <w:rFonts w:ascii="Calibri" w:hAnsi="Calibri" w:cs="Calibri"/>
        </w:rPr>
        <w:t>sieť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mestských</w:t>
      </w:r>
      <w:proofErr w:type="spellEnd"/>
      <w:r>
        <w:rPr>
          <w:rStyle w:val="apple-converted-space"/>
          <w:rFonts w:ascii="Calibri" w:hAnsi="Calibri" w:cs="Calibri"/>
        </w:rPr>
        <w:t xml:space="preserve"> </w:t>
      </w:r>
      <w:proofErr w:type="spellStart"/>
      <w:r>
        <w:rPr>
          <w:rStyle w:val="apple-converted-space"/>
          <w:rFonts w:ascii="Calibri" w:hAnsi="Calibri" w:cs="Calibri"/>
        </w:rPr>
        <w:t>cyklotrás</w:t>
      </w:r>
      <w:proofErr w:type="spellEnd"/>
      <w:r>
        <w:rPr>
          <w:rStyle w:val="apple-converted-space"/>
          <w:rFonts w:ascii="Calibri" w:hAnsi="Calibri" w:cs="Calibri"/>
        </w:rPr>
        <w:t xml:space="preserve"> a plánuje </w:t>
      </w:r>
      <w:proofErr w:type="spellStart"/>
      <w:r>
        <w:rPr>
          <w:rStyle w:val="apple-converted-space"/>
          <w:rFonts w:ascii="Calibri" w:hAnsi="Calibri" w:cs="Calibri"/>
        </w:rPr>
        <w:t>sa</w:t>
      </w:r>
      <w:proofErr w:type="spellEnd"/>
      <w:r>
        <w:rPr>
          <w:rStyle w:val="apple-converted-space"/>
          <w:rFonts w:ascii="Calibri" w:hAnsi="Calibri" w:cs="Calibri"/>
        </w:rPr>
        <w:t xml:space="preserve"> jej </w:t>
      </w:r>
      <w:proofErr w:type="spellStart"/>
      <w:r>
        <w:rPr>
          <w:rStyle w:val="apple-converted-space"/>
          <w:rFonts w:ascii="Calibri" w:hAnsi="Calibri" w:cs="Calibri"/>
        </w:rPr>
        <w:t>pokračovanie</w:t>
      </w:r>
      <w:proofErr w:type="spellEnd"/>
      <w:r>
        <w:rPr>
          <w:rStyle w:val="apple-converted-space"/>
          <w:rFonts w:ascii="Calibri" w:hAnsi="Calibri" w:cs="Calibri"/>
        </w:rPr>
        <w:t>.</w:t>
      </w:r>
      <w:r>
        <w:rPr>
          <w:rStyle w:val="apple-converted-space"/>
          <w:rFonts w:ascii="Calibri" w:hAnsi="Calibri" w:cs="Calibri"/>
          <w:lang w:val="sk-SK"/>
        </w:rPr>
        <w:t xml:space="preserve"> Zlepšenie pohybu sa týka aj chodcov, nakoľko dlhé, 22-metrové priechody pre chodcov boli rozdelené bezpečný</w:t>
      </w:r>
      <w:r>
        <w:rPr>
          <w:rStyle w:val="apple-converted-space"/>
          <w:rFonts w:ascii="Calibri" w:hAnsi="Calibri" w:cs="Calibri"/>
          <w:lang w:val="sk-SK"/>
        </w:rPr>
        <w:t>mi ostrovčekmi.</w:t>
      </w:r>
    </w:p>
    <w:p w14:paraId="2EA3AB49" w14:textId="77777777" w:rsidR="000777DE" w:rsidRDefault="00883B6B">
      <w:pPr>
        <w:pStyle w:val="Default"/>
        <w:ind w:left="1260"/>
      </w:pPr>
      <w:r>
        <w:rPr>
          <w:rStyle w:val="apple-converted-space"/>
          <w:rFonts w:ascii="Calibri" w:hAnsi="Calibri" w:cs="Calibri"/>
          <w:lang w:val="sk-SK"/>
        </w:rPr>
        <w:t xml:space="preserve">Cyklotrasa je podľa údajov so </w:t>
      </w:r>
      <w:proofErr w:type="spellStart"/>
      <w:r>
        <w:rPr>
          <w:rStyle w:val="apple-converted-space"/>
          <w:rFonts w:ascii="Calibri" w:hAnsi="Calibri" w:cs="Calibri"/>
          <w:lang w:val="sk-SK"/>
        </w:rPr>
        <w:t>sčítačov</w:t>
      </w:r>
      <w:proofErr w:type="spellEnd"/>
      <w:r>
        <w:rPr>
          <w:rStyle w:val="apple-converted-space"/>
          <w:rFonts w:ascii="Calibri" w:hAnsi="Calibri" w:cs="Calibri"/>
          <w:lang w:val="sk-SK"/>
        </w:rPr>
        <w:t xml:space="preserve"> za prvého pol roka štvrtým najfrekventovanejším úsekom cyklistickej siete v meste Trnava. Počas druhej polovice roka 2021 bolo denne zaznamenaných priemerne 435 prejazdov, v najfrekventovanejších dňoch</w:t>
      </w:r>
      <w:r>
        <w:rPr>
          <w:rStyle w:val="apple-converted-space"/>
          <w:rFonts w:ascii="Calibri" w:hAnsi="Calibri" w:cs="Calibri"/>
          <w:lang w:val="sk-SK"/>
        </w:rPr>
        <w:t xml:space="preserve"> viac ako 800 prejazdov denne (čísla sú ovplyvnené </w:t>
      </w:r>
      <w:proofErr w:type="spellStart"/>
      <w:r>
        <w:rPr>
          <w:rStyle w:val="apple-converted-space"/>
          <w:rFonts w:ascii="Calibri" w:hAnsi="Calibri" w:cs="Calibri"/>
          <w:lang w:val="sk-SK"/>
        </w:rPr>
        <w:t>pandemickou</w:t>
      </w:r>
      <w:proofErr w:type="spellEnd"/>
      <w:r>
        <w:rPr>
          <w:rStyle w:val="apple-converted-space"/>
          <w:rFonts w:ascii="Calibri" w:hAnsi="Calibri" w:cs="Calibri"/>
          <w:lang w:val="sk-SK"/>
        </w:rPr>
        <w:t xml:space="preserve"> situáciou a obmedzenou prevádzkou škôl).</w:t>
      </w:r>
    </w:p>
    <w:p w14:paraId="2EA3AB4A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Stavebně-technické řešení (použité řešení, originalita)</w:t>
      </w:r>
      <w:r>
        <w:rPr>
          <w:rStyle w:val="apple-converted-space"/>
          <w:rFonts w:ascii="Calibri" w:hAnsi="Calibri" w:cs="Calibri"/>
          <w:shd w:val="clear" w:color="auto" w:fill="FFFFFF"/>
        </w:rPr>
        <w:t> </w:t>
      </w:r>
      <w:r>
        <w:rPr>
          <w:rStyle w:val="apple-converted-space"/>
          <w:rFonts w:ascii="Calibri" w:hAnsi="Calibri" w:cs="Calibri"/>
          <w:shd w:val="clear" w:color="auto" w:fill="FFFFFF"/>
        </w:rPr>
        <w:br/>
      </w:r>
      <w:r>
        <w:rPr>
          <w:rStyle w:val="apple-converted-space"/>
          <w:rFonts w:ascii="Calibri" w:hAnsi="Calibri" w:cs="Calibri"/>
          <w:shd w:val="clear" w:color="auto" w:fill="FFFFFF"/>
        </w:rPr>
        <w:t xml:space="preserve">Projekt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vznikol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úpravou dopravného značenia spolu s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veľmi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jednoduchým, no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efektívnym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riešením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</w:t>
      </w:r>
      <w:r>
        <w:rPr>
          <w:rStyle w:val="apple-converted-space"/>
          <w:rFonts w:ascii="Calibri" w:hAnsi="Calibri" w:cs="Calibri"/>
          <w:shd w:val="clear" w:color="auto" w:fill="FFFFFF"/>
        </w:rPr>
        <w:t xml:space="preserve">fyzického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oddelenia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cyklistických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pruhov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. Na tento účel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sa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použili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oddelovače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z 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recyklovanej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gumy.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Riešenie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uplatňuje v 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priestore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v rámci legislatívnych možností </w:t>
      </w:r>
      <w:r>
        <w:rPr>
          <w:rStyle w:val="apple-converted-space"/>
          <w:rFonts w:ascii="Calibri" w:hAnsi="Calibri" w:cs="Calibri"/>
          <w:shd w:val="clear" w:color="auto" w:fill="FFFFFF"/>
        </w:rPr>
        <w:t>minimum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 zvislých </w:t>
      </w:r>
      <w:r>
        <w:rPr>
          <w:rStyle w:val="apple-converted-space"/>
          <w:rFonts w:ascii="Calibri" w:hAnsi="Calibri" w:cs="Calibri"/>
          <w:shd w:val="clear" w:color="auto" w:fill="FFFFFF"/>
        </w:rPr>
        <w:t xml:space="preserve">dopravných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značiek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, čím zvyšuje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prehľadnosť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a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bezpečnosť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dopravy.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 Použité bol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i viaceré prvky, ktoré v slovenských projektoch organizácie dopravy nie sú bežné. </w:t>
      </w:r>
      <w:r>
        <w:rPr>
          <w:rStyle w:val="apple-converted-space"/>
          <w:rFonts w:ascii="Calibri" w:hAnsi="Calibri" w:cs="Calibri"/>
          <w:shd w:val="clear" w:color="auto" w:fill="FFFFFF"/>
        </w:rPr>
        <w:t xml:space="preserve">Aplikované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riešenie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je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mimoriadne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cenovo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efektívne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, bezpečné a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</w:rPr>
        <w:t>funkčné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</w:rPr>
        <w:t xml:space="preserve">. 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Krátko po zmene organizácie dopravy boli pre overenie funkčnosti riešenia nainštalované automatické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>sč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>ítače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 cyklistov fungujúce na princípe indukčnej slučky.</w:t>
      </w:r>
    </w:p>
    <w:p w14:paraId="2EA3AB4B" w14:textId="77777777" w:rsidR="000777DE" w:rsidRDefault="00883B6B">
      <w:pPr>
        <w:pStyle w:val="Default"/>
        <w:tabs>
          <w:tab w:val="left" w:pos="2520"/>
        </w:tabs>
        <w:ind w:left="1260" w:hanging="360"/>
      </w:pP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Spolu s realizáciou samotnej Študentskej ulice bol predstavený koncept zmeny organizácie dopravy v celej štvrti </w:t>
      </w:r>
      <w:proofErr w:type="spellStart"/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>zjednosmernením</w:t>
      </w:r>
      <w:proofErr w:type="spellEnd"/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 xml:space="preserve"> väčšiny ulíc. Tým dôjde k vytvoreniu priestoru pre viac zelene, ako aj l</w:t>
      </w:r>
      <w:r>
        <w:rPr>
          <w:rStyle w:val="apple-converted-space"/>
          <w:rFonts w:ascii="Calibri" w:hAnsi="Calibri" w:cs="Calibri"/>
          <w:shd w:val="clear" w:color="auto" w:fill="FFFFFF"/>
          <w:lang w:val="sk-SK"/>
        </w:rPr>
        <w:t>egálne vyznačené parkovacie miesta, keďže po úprave Študentskej ulice sa časť vozidiel presunula práve do okolitých uličiek. Zároveň dôjde k upokojeniu dopravy v celej štvrti, ktorá sa tak stane bezpečnejšou a priateľskejšou pre pohyb peši či na bicykli.</w:t>
      </w:r>
    </w:p>
    <w:p w14:paraId="2EA3AB4C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Udržitelnost stavby (náklady spojené s provozem, údržba)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br/>
      </w: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Náklady na údržbu sú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bežné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ako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pri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ostatných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cestných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komunikáciách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.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Vďaka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>dostatočn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ej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šírke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cyklopruhu je možné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vykonávať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 xml:space="preserve">aj zimnú 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údržbu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bežnými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lastRenderedPageBreak/>
        <w:t>mechanizmami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. 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>V budúcnosti je v rámci kompletnej rek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  <w:lang w:val="sk-SK"/>
        </w:rPr>
        <w:t>onštrukcie ulice plánované stavebné zdvihnutie úrovne cyklotrasy.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br/>
      </w:r>
    </w:p>
    <w:p w14:paraId="2EA3AB4D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t>Grafické přílohy, fotodokumentace</w:t>
      </w:r>
    </w:p>
    <w:p w14:paraId="2EA3AB4E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požadovaná dokumentace stavby musí obsahovat situaci, rozhodující půdorysy, popřípadě i dokumentaci významných konstrukčních řešení, stavebních detailů, či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další dokumentaci nezbytnou pro správné hodnocení stavby.</w:t>
      </w:r>
    </w:p>
    <w:p w14:paraId="2EA3AB4F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dále cca 5 ks fotografií, nejlépe celek i detail v rozlišení pro tiskové </w:t>
      </w:r>
      <w:proofErr w:type="gram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účely  300</w:t>
      </w:r>
      <w:proofErr w:type="gram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dpi, formát *.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jpg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/ *.</w:t>
      </w:r>
      <w:proofErr w:type="spellStart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pdf</w:t>
      </w:r>
      <w:proofErr w:type="spellEnd"/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).</w:t>
      </w:r>
    </w:p>
    <w:p w14:paraId="2EA3AB50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dokumentace zůstává majetkem vypisovatelů s právem publicity.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br/>
      </w:r>
    </w:p>
    <w:p w14:paraId="2EA3AB51" w14:textId="77777777" w:rsidR="000777DE" w:rsidRDefault="00883B6B">
      <w:pPr>
        <w:pStyle w:val="Default"/>
        <w:numPr>
          <w:ilvl w:val="1"/>
          <w:numId w:val="6"/>
        </w:numPr>
        <w:tabs>
          <w:tab w:val="left" w:pos="720"/>
        </w:tabs>
        <w:ind w:left="360"/>
      </w:pPr>
      <w:r>
        <w:rPr>
          <w:rFonts w:ascii="Calibri" w:hAnsi="Calibri" w:cs="Calibri"/>
        </w:rPr>
        <w:t>Souhlas s používáním s</w:t>
      </w:r>
      <w:r>
        <w:rPr>
          <w:rFonts w:ascii="Calibri" w:hAnsi="Calibri" w:cs="Calibri"/>
        </w:rPr>
        <w:t>outěžních podkladů:</w:t>
      </w:r>
    </w:p>
    <w:p w14:paraId="2EA3AB52" w14:textId="77777777" w:rsidR="000777DE" w:rsidRDefault="00883B6B">
      <w:pPr>
        <w:pStyle w:val="Default"/>
        <w:numPr>
          <w:ilvl w:val="2"/>
          <w:numId w:val="2"/>
        </w:numPr>
        <w:tabs>
          <w:tab w:val="left" w:pos="2520"/>
        </w:tabs>
        <w:ind w:left="1260"/>
      </w:pP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Přihlašovatel prohlašuje, že je oprávněn udělit jménem všech vlastníků autorsko-majetkových práv souhlas se zpracováním dodaných podkladů a zveřejněním na </w:t>
      </w:r>
      <w:hyperlink r:id="rId8" w:history="1">
        <w:r>
          <w:rPr>
            <w:rStyle w:val="Siln"/>
          </w:rPr>
          <w:t>www.citychangers.eu/</w:t>
        </w:r>
      </w:hyperlink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 xml:space="preserve"> pro účely výsta</w:t>
      </w:r>
      <w:r>
        <w:rPr>
          <w:rStyle w:val="Siln"/>
          <w:rFonts w:ascii="Calibri" w:hAnsi="Calibri" w:cs="Calibri"/>
          <w:b w:val="0"/>
          <w:bCs w:val="0"/>
          <w:shd w:val="clear" w:color="auto" w:fill="FFFFFF"/>
        </w:rPr>
        <w:t>vy, v mediích a v dalších prezentacích a že podáním přihlášky neporušuje autorská a jiná práva třetích osob.</w:t>
      </w:r>
    </w:p>
    <w:sectPr w:rsidR="000777D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AB28" w14:textId="77777777" w:rsidR="00000000" w:rsidRDefault="00883B6B">
      <w:r>
        <w:separator/>
      </w:r>
    </w:p>
  </w:endnote>
  <w:endnote w:type="continuationSeparator" w:id="0">
    <w:p w14:paraId="2EA3AB2A" w14:textId="77777777" w:rsidR="00000000" w:rsidRDefault="0088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AB24" w14:textId="77777777" w:rsidR="00000000" w:rsidRDefault="00883B6B">
      <w:r>
        <w:rPr>
          <w:color w:val="000000"/>
        </w:rPr>
        <w:separator/>
      </w:r>
    </w:p>
  </w:footnote>
  <w:footnote w:type="continuationSeparator" w:id="0">
    <w:p w14:paraId="2EA3AB26" w14:textId="77777777" w:rsidR="00000000" w:rsidRDefault="0088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AB2C" w14:textId="77777777" w:rsidR="00DC1804" w:rsidRDefault="00883B6B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A3AB24" wp14:editId="2EA3AB25">
          <wp:simplePos x="0" y="0"/>
          <wp:positionH relativeFrom="margin">
            <wp:posOffset>49680</wp:posOffset>
          </wp:positionH>
          <wp:positionV relativeFrom="paragraph">
            <wp:posOffset>149400</wp:posOffset>
          </wp:positionV>
          <wp:extent cx="477360" cy="702360"/>
          <wp:effectExtent l="0" t="0" r="0" b="2490"/>
          <wp:wrapSquare wrapText="bothSides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26879" t="15078" r="22335" b="8312"/>
                  <a:stretch>
                    <a:fillRect/>
                  </a:stretch>
                </pic:blipFill>
                <pic:spPr>
                  <a:xfrm>
                    <a:off x="0" y="0"/>
                    <a:ext cx="477360" cy="702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A3AB26" wp14:editId="2EA3AB27">
          <wp:simplePos x="0" y="0"/>
          <wp:positionH relativeFrom="page">
            <wp:posOffset>3516479</wp:posOffset>
          </wp:positionH>
          <wp:positionV relativeFrom="paragraph">
            <wp:posOffset>-449639</wp:posOffset>
          </wp:positionV>
          <wp:extent cx="3739680" cy="853559"/>
          <wp:effectExtent l="0" t="0" r="0" b="3691"/>
          <wp:wrapNone/>
          <wp:docPr id="2" name="Obráze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9680" cy="853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CDA"/>
    <w:multiLevelType w:val="multilevel"/>
    <w:tmpl w:val="4D483A3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1.%2."/>
      <w:lvlJc w:val="righ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316366"/>
    <w:multiLevelType w:val="multilevel"/>
    <w:tmpl w:val="0BB0C49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5822523"/>
    <w:multiLevelType w:val="multilevel"/>
    <w:tmpl w:val="DB1C3D6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1.%2."/>
      <w:lvlJc w:val="righ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27AB8"/>
    <w:multiLevelType w:val="multilevel"/>
    <w:tmpl w:val="519A1704"/>
    <w:styleLink w:val="WWNum7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1.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4" w15:restartNumberingAfterBreak="0">
    <w:nsid w:val="3EC01B5E"/>
    <w:multiLevelType w:val="multilevel"/>
    <w:tmpl w:val="3870ADB8"/>
    <w:styleLink w:val="WWNum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1.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" w15:restartNumberingAfterBreak="0">
    <w:nsid w:val="4810444C"/>
    <w:multiLevelType w:val="multilevel"/>
    <w:tmpl w:val="A38CD51C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1.%2."/>
      <w:lvlJc w:val="righ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D932C1"/>
    <w:multiLevelType w:val="multilevel"/>
    <w:tmpl w:val="B7663E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7E82A5D"/>
    <w:multiLevelType w:val="multilevel"/>
    <w:tmpl w:val="E7CE7DE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1.%2."/>
      <w:lvlJc w:val="righ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394583"/>
    <w:multiLevelType w:val="multilevel"/>
    <w:tmpl w:val="EA76791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1.%2."/>
      <w:lvlJc w:val="righ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9F39C9"/>
    <w:multiLevelType w:val="multilevel"/>
    <w:tmpl w:val="1118251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A3540B"/>
    <w:multiLevelType w:val="multilevel"/>
    <w:tmpl w:val="E74E466E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7F0E9C"/>
    <w:multiLevelType w:val="multilevel"/>
    <w:tmpl w:val="52D058E8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Roman"/>
      <w:lvlText w:val="%1.%2."/>
      <w:lvlJc w:val="righ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AF356E"/>
    <w:multiLevelType w:val="multilevel"/>
    <w:tmpl w:val="10503CA2"/>
    <w:styleLink w:val="WWNum9"/>
    <w:lvl w:ilvl="0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9"/>
  </w:num>
  <w:num w:numId="13">
    <w:abstractNumId w:val="9"/>
    <w:lvlOverride w:ilvl="0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77DE"/>
    <w:rsid w:val="000777DE"/>
    <w:rsid w:val="008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AB24"/>
  <w15:docId w15:val="{E1A79D6A-5DBD-40C0-8661-373BF75B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  <w:lang/>
    </w:rPr>
  </w:style>
  <w:style w:type="paragraph" w:customStyle="1" w:styleId="Default">
    <w:name w:val="Default"/>
    <w:pPr>
      <w:widowControl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pple-converted-space">
    <w:name w:val="apple-converted-space"/>
    <w:basedOn w:val="Standardnpsmoodstavce"/>
  </w:style>
  <w:style w:type="character" w:styleId="Siln">
    <w:name w:val="Strong"/>
    <w:rPr>
      <w:b/>
      <w:bCs/>
    </w:rPr>
  </w:style>
  <w:style w:type="character" w:customStyle="1" w:styleId="HlavikaChar">
    <w:name w:val="Hlavička Char"/>
    <w:basedOn w:val="Standardnpsmoodstavce"/>
  </w:style>
  <w:style w:type="character" w:customStyle="1" w:styleId="PtaChar">
    <w:name w:val="Päta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yklokoalic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Vrtalova</dc:creator>
  <cp:lastModifiedBy>Jitka Vrtalova</cp:lastModifiedBy>
  <cp:revision>2</cp:revision>
  <dcterms:created xsi:type="dcterms:W3CDTF">2022-02-12T20:21:00Z</dcterms:created>
  <dcterms:modified xsi:type="dcterms:W3CDTF">2022-02-12T20:21:00Z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